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103" w:rsidRDefault="00FA10B4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РАЗДЕЛ 2. МЕРОПРИЯТИЯ ПО ПРОСВЕТИТЕЛЬСКОЙ ДЕЯТЕЛЬНОСТИ С РОДИТ</w:t>
      </w:r>
      <w:bookmarkStart w:id="0" w:name="_GoBack"/>
      <w:bookmarkEnd w:id="0"/>
      <w:r>
        <w:rPr>
          <w:rFonts w:ascii="Times New Roman" w:hAnsi="Times New Roman" w:cs="Times New Roman"/>
          <w:b/>
          <w:sz w:val="72"/>
          <w:szCs w:val="72"/>
        </w:rPr>
        <w:t>ЕЛЯМИ В ДОО</w:t>
      </w: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2.1. </w:t>
      </w:r>
      <w:r>
        <w:rPr>
          <w:rFonts w:ascii="Times New Roman" w:hAnsi="Times New Roman" w:cs="Times New Roman"/>
          <w:b/>
          <w:sz w:val="56"/>
          <w:szCs w:val="56"/>
        </w:rPr>
        <w:t>Распределение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>
        <w:rPr>
          <w:rFonts w:ascii="Times New Roman" w:hAnsi="Times New Roman" w:cs="Times New Roman"/>
          <w:b/>
          <w:sz w:val="56"/>
          <w:szCs w:val="56"/>
        </w:rPr>
        <w:t>семей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>
        <w:rPr>
          <w:rFonts w:ascii="Times New Roman" w:hAnsi="Times New Roman" w:cs="Times New Roman"/>
          <w:b/>
          <w:sz w:val="56"/>
          <w:szCs w:val="56"/>
        </w:rPr>
        <w:t>по</w:t>
      </w:r>
      <w:r>
        <w:rPr>
          <w:rFonts w:ascii="Times New Roman" w:hAnsi="Times New Roman" w:cs="Times New Roman"/>
          <w:b/>
          <w:sz w:val="56"/>
          <w:szCs w:val="56"/>
        </w:rPr>
        <w:t xml:space="preserve"> целевым группам </w:t>
      </w: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DE1103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Таблица 1. Распределение семей по целевым группам</w:t>
      </w:r>
    </w:p>
    <w:p w:rsidR="00DE1103" w:rsidRDefault="00DE1103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</w:p>
    <w:p w:rsidR="00DE1103" w:rsidRDefault="00DE1103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Целевая группа родителей,                     Формат работы  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их характеристика</w:t>
      </w:r>
    </w:p>
    <w:p w:rsidR="00DE1103" w:rsidRDefault="00DE1103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DE1103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line="36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Ответственный                           Сроки / периодичность</w:t>
      </w:r>
    </w:p>
    <w:tbl>
      <w:tblPr>
        <w:tblStyle w:val="a5"/>
        <w:tblW w:w="15452" w:type="dxa"/>
        <w:tblInd w:w="-318" w:type="dxa"/>
        <w:tblLook w:val="04A0" w:firstRow="1" w:lastRow="0" w:firstColumn="1" w:lastColumn="0" w:noHBand="0" w:noVBand="1"/>
      </w:tblPr>
      <w:tblGrid>
        <w:gridCol w:w="7393"/>
        <w:gridCol w:w="8059"/>
      </w:tblGrid>
      <w:tr w:rsidR="00DE1103" w:rsidRPr="00EE4110">
        <w:tc>
          <w:tcPr>
            <w:tcW w:w="7393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>Семьи с нормотипичными детьми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i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Широкая категория с разными запросами; основная масса родителей, ориентированная на возрастное развитие, подготовку к школе, социализацию.</w:t>
            </w:r>
          </w:p>
        </w:tc>
        <w:tc>
          <w:tcPr>
            <w:tcW w:w="8059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Семьи с часто болеющими </w:t>
            </w: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>детьми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i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Высокая тревожность за здоровье, пропуски занятий, потребность в медицинских знаниях, возможны сложности с адаптацией и социализацией ребенка.</w:t>
            </w:r>
          </w:p>
        </w:tc>
      </w:tr>
      <w:tr w:rsidR="00DE1103" w:rsidRPr="00EE4110" w:rsidTr="00EE4110">
        <w:trPr>
          <w:trHeight w:val="2167"/>
        </w:trPr>
        <w:tc>
          <w:tcPr>
            <w:tcW w:w="7393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>Семьи с детьми с ОВЗ и инвалидами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Высокая нагрузка на родителей, потребность в специальных знаниях, часты</w:t>
            </w: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е обращения к специалистам, риск социальной изоляции, эмоциональное истощение</w:t>
            </w: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>.</w:t>
            </w:r>
          </w:p>
        </w:tc>
        <w:tc>
          <w:tcPr>
            <w:tcW w:w="8059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>Семьи с одаренными детьми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i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Потребность в особых образовательных маршрутах, высокая вовлеченность, иногда – завышенные ожидания, риск перегрузки ребенка.</w:t>
            </w:r>
          </w:p>
          <w:p w:rsidR="00DE1103" w:rsidRPr="00EE4110" w:rsidRDefault="00DE1103">
            <w:pPr>
              <w:spacing w:after="0" w:line="36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</w:tr>
      <w:tr w:rsidR="00DE1103" w:rsidRPr="00EE4110" w:rsidTr="00EE4110">
        <w:trPr>
          <w:trHeight w:val="2710"/>
        </w:trPr>
        <w:tc>
          <w:tcPr>
            <w:tcW w:w="7393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>Семьи мигрантов</w:t>
            </w:r>
          </w:p>
          <w:p w:rsidR="00DE1103" w:rsidRPr="00EE4110" w:rsidRDefault="00FA10B4" w:rsidP="00EE4110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 xml:space="preserve">Языковой барьер, разница в культурных нормах, возможная социальная изоляция, низкая </w:t>
            </w: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lastRenderedPageBreak/>
              <w:t>осведомленность о системе образования, но высокая мотивация на интеграцию</w:t>
            </w:r>
          </w:p>
        </w:tc>
        <w:tc>
          <w:tcPr>
            <w:tcW w:w="8059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>С</w:t>
            </w: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>емьи СВО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i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Высокий уровень стресса, возможное отсутствие одного родителя (участие в боевых действи</w:t>
            </w: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 xml:space="preserve">ях), </w:t>
            </w: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lastRenderedPageBreak/>
              <w:t>потребность в психологической поддержке, часто – снижение материального достатка, особое отношение к детям.</w:t>
            </w:r>
          </w:p>
        </w:tc>
      </w:tr>
      <w:tr w:rsidR="00DE1103" w:rsidRPr="00EE4110">
        <w:tc>
          <w:tcPr>
            <w:tcW w:w="7393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 xml:space="preserve">Семьи неполные 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i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Высокая нагрузка на одного родителя, возможны финансовые трудности, дефицит времени на общение с ребенком, потребность в мужск</w:t>
            </w: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ой/женской модели воспитания.</w:t>
            </w:r>
          </w:p>
          <w:p w:rsidR="00DE1103" w:rsidRPr="00EE4110" w:rsidRDefault="00DE1103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8059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>Семьи зрелых родителей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Стабильность, осознанный подход к воспитанию, высокий уровень ответственности, но возможна гиперопека, разрыв в поколениях, иной темп взаимодействия.</w:t>
            </w:r>
          </w:p>
        </w:tc>
      </w:tr>
      <w:tr w:rsidR="00DE1103" w:rsidRPr="00EE4110">
        <w:tc>
          <w:tcPr>
            <w:tcW w:w="7393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t>Молодые семьи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i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 xml:space="preserve">Часто отсутствует опыт воспитания, </w:t>
            </w: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высока тревожность, активно ищут информацию, открыты к советам, но могут испытывать неуверенность в своих действиях.</w:t>
            </w:r>
          </w:p>
          <w:p w:rsidR="00DE1103" w:rsidRPr="00EE4110" w:rsidRDefault="00DE1103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8059" w:type="dxa"/>
          </w:tcPr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b/>
                <w:sz w:val="48"/>
                <w:szCs w:val="48"/>
              </w:rPr>
              <w:lastRenderedPageBreak/>
              <w:t xml:space="preserve">Многодетные семьи </w:t>
            </w:r>
          </w:p>
          <w:p w:rsidR="00DE1103" w:rsidRPr="00EE4110" w:rsidRDefault="00FA10B4">
            <w:pPr>
              <w:spacing w:after="0" w:line="240" w:lineRule="auto"/>
              <w:rPr>
                <w:rFonts w:ascii="Times New Roman" w:hAnsi="Times New Roman" w:cs="Times New Roman"/>
                <w:i/>
                <w:sz w:val="48"/>
                <w:szCs w:val="48"/>
              </w:rPr>
            </w:pP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Дефицит времени, хорошо развитые бытовые навыки, опытность в воспитании, возможна усталость, потребность в поддержке, ч</w:t>
            </w:r>
            <w:r w:rsidRPr="00EE4110">
              <w:rPr>
                <w:rFonts w:ascii="Times New Roman" w:hAnsi="Times New Roman" w:cs="Times New Roman"/>
                <w:i/>
                <w:sz w:val="48"/>
                <w:szCs w:val="48"/>
              </w:rPr>
              <w:t>асто – активная жизненная позиция.</w:t>
            </w:r>
          </w:p>
          <w:p w:rsidR="00DE1103" w:rsidRPr="00EE4110" w:rsidRDefault="00DE1103">
            <w:pPr>
              <w:spacing w:after="0" w:line="240" w:lineRule="auto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</w:tr>
      <w:tr w:rsidR="00DE1103" w:rsidRPr="00EE4110">
        <w:tc>
          <w:tcPr>
            <w:tcW w:w="7393" w:type="dxa"/>
          </w:tcPr>
          <w:p w:rsidR="00DE1103" w:rsidRPr="00EE4110" w:rsidRDefault="00DE1103">
            <w:pPr>
              <w:spacing w:after="0" w:line="36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059" w:type="dxa"/>
          </w:tcPr>
          <w:p w:rsidR="00DE1103" w:rsidRPr="00EE4110" w:rsidRDefault="00DE1103">
            <w:pPr>
              <w:spacing w:after="0" w:line="36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DE1103" w:rsidRPr="00EE4110" w:rsidRDefault="00DE1103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DE1103" w:rsidRDefault="00DE1103">
      <w:pPr>
        <w:shd w:val="clear" w:color="auto" w:fill="FFFFFF"/>
        <w:spacing w:after="0" w:line="360" w:lineRule="auto"/>
        <w:jc w:val="center"/>
        <w:outlineLvl w:val="3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DE1103">
      <w:pPr>
        <w:shd w:val="clear" w:color="auto" w:fill="FFFFFF"/>
        <w:spacing w:after="0" w:line="360" w:lineRule="auto"/>
        <w:jc w:val="center"/>
        <w:outlineLvl w:val="3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hd w:val="clear" w:color="auto" w:fill="FFFFFF"/>
        <w:spacing w:after="0" w:line="360" w:lineRule="auto"/>
        <w:jc w:val="center"/>
        <w:outlineLvl w:val="3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2.2. Работа с инициативами родителей</w:t>
      </w:r>
    </w:p>
    <w:p w:rsidR="00DE1103" w:rsidRDefault="00FA10B4">
      <w:pPr>
        <w:spacing w:line="36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Вопрос     Ответ (конкретные варианты / действия)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Какие инициативы родителей 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помогут осуществлению 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просветительской деятельности?</w:t>
      </w:r>
    </w:p>
    <w:p w:rsidR="00DE1103" w:rsidRDefault="00DE1103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Как выявляем? 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(3 способа)</w:t>
      </w:r>
    </w:p>
    <w:p w:rsidR="00DE1103" w:rsidRDefault="00DE1103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Как поддерживаем 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lastRenderedPageBreak/>
        <w:t xml:space="preserve">и стимулируем? </w:t>
      </w:r>
    </w:p>
    <w:p w:rsidR="00DE1103" w:rsidRDefault="00DE1103">
      <w:pPr>
        <w:spacing w:after="0" w:line="360" w:lineRule="auto"/>
        <w:rPr>
          <w:rFonts w:ascii="Times New Roman" w:hAnsi="Times New Roman" w:cs="Times New Roman"/>
          <w:i/>
          <w:sz w:val="40"/>
          <w:szCs w:val="40"/>
        </w:rPr>
      </w:pPr>
    </w:p>
    <w:p w:rsidR="00DE1103" w:rsidRDefault="00FA10B4">
      <w:pPr>
        <w:spacing w:after="0" w:line="36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Ключевой вывод команды (1 предложение):</w:t>
      </w:r>
    </w:p>
    <w:p w:rsidR="00DE1103" w:rsidRDefault="00DE1103">
      <w:pPr>
        <w:spacing w:after="0" w:line="360" w:lineRule="auto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DE1103">
      <w:pPr>
        <w:spacing w:after="0" w:line="360" w:lineRule="auto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2.3. План мероприятий по просвещению родителей на 2026–2027 уч. год</w:t>
      </w:r>
    </w:p>
    <w:p w:rsidR="00DE1103" w:rsidRDefault="00FA10B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(Примерный вариант раздела годового плана)</w:t>
      </w: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8299"/>
      </w:tblGrid>
      <w:tr w:rsidR="00DE1103">
        <w:trPr>
          <w:trHeight w:val="1097"/>
        </w:trPr>
        <w:tc>
          <w:tcPr>
            <w:tcW w:w="6487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Направление</w:t>
            </w:r>
          </w:p>
        </w:tc>
        <w:tc>
          <w:tcPr>
            <w:tcW w:w="829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Мероприятие (форма, тема)</w:t>
            </w:r>
          </w:p>
        </w:tc>
      </w:tr>
      <w:tr w:rsidR="00DE1103">
        <w:tc>
          <w:tcPr>
            <w:tcW w:w="6487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Формат</w:t>
            </w:r>
          </w:p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(оффлайн / онлайн)</w:t>
            </w:r>
          </w:p>
        </w:tc>
        <w:tc>
          <w:tcPr>
            <w:tcW w:w="829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Срок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ab/>
              <w:t xml:space="preserve">         Ответственный</w:t>
            </w:r>
          </w:p>
        </w:tc>
      </w:tr>
      <w:tr w:rsidR="00DE1103">
        <w:trPr>
          <w:trHeight w:val="1543"/>
        </w:trPr>
        <w:tc>
          <w:tcPr>
            <w:tcW w:w="6487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Мониторинг </w:t>
            </w:r>
          </w:p>
        </w:tc>
        <w:tc>
          <w:tcPr>
            <w:tcW w:w="829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Информирование </w:t>
            </w:r>
          </w:p>
        </w:tc>
      </w:tr>
      <w:tr w:rsidR="00DE1103">
        <w:trPr>
          <w:trHeight w:val="1958"/>
        </w:trPr>
        <w:tc>
          <w:tcPr>
            <w:tcW w:w="6487" w:type="dxa"/>
            <w:vAlign w:val="center"/>
          </w:tcPr>
          <w:p w:rsidR="00DE1103" w:rsidRDefault="00DE1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Обогащение опыта</w:t>
            </w:r>
          </w:p>
          <w:p w:rsidR="00DE1103" w:rsidRDefault="00DE1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  <w:tc>
          <w:tcPr>
            <w:tcW w:w="829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Соуправление</w:t>
            </w:r>
          </w:p>
          <w:p w:rsidR="00DE1103" w:rsidRDefault="00DE1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</w:tr>
      <w:tr w:rsidR="00DE1103">
        <w:tc>
          <w:tcPr>
            <w:tcW w:w="6487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Совместная деятельность с детьми</w:t>
            </w:r>
          </w:p>
          <w:p w:rsidR="00DE1103" w:rsidRDefault="00DE1103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  <w:tc>
          <w:tcPr>
            <w:tcW w:w="8299" w:type="dxa"/>
            <w:vAlign w:val="center"/>
          </w:tcPr>
          <w:p w:rsidR="00DE1103" w:rsidRDefault="00DE1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</w:tr>
    </w:tbl>
    <w:p w:rsidR="00DE1103" w:rsidRDefault="00FA10B4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56"/>
          <w:szCs w:val="56"/>
        </w:rPr>
        <w:tab/>
      </w:r>
      <w:r>
        <w:rPr>
          <w:rFonts w:ascii="Times New Roman" w:hAnsi="Times New Roman" w:cs="Times New Roman"/>
          <w:b/>
          <w:sz w:val="56"/>
          <w:szCs w:val="56"/>
        </w:rPr>
        <w:tab/>
        <w:t xml:space="preserve"> </w:t>
      </w:r>
      <w:r>
        <w:rPr>
          <w:rFonts w:ascii="Times New Roman" w:hAnsi="Times New Roman" w:cs="Times New Roman"/>
          <w:b/>
          <w:sz w:val="72"/>
          <w:szCs w:val="72"/>
        </w:rPr>
        <w:t>РАЗДЕЛ 3. РАБОТА С КАДРАМИ (ПОВЫШЕНИЕ ПРОФЕССИОНАЛИЗМА  ПЕДАГОГОВ ДОУ)</w:t>
      </w: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ПОРТРЕТ ВОСПИТАТЕЛЯ-ПРОСВЕТИТЕЛЯ</w:t>
      </w:r>
    </w:p>
    <w:p w:rsidR="00DE1103" w:rsidRDefault="00DE1103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Какими </w:t>
      </w:r>
      <w:r>
        <w:rPr>
          <w:rFonts w:ascii="Times New Roman" w:hAnsi="Times New Roman" w:cs="Times New Roman"/>
          <w:b/>
          <w:sz w:val="48"/>
          <w:szCs w:val="48"/>
        </w:rPr>
        <w:t>профессионально-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личностными качествами, 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компетенциями (знаниями, 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lastRenderedPageBreak/>
        <w:t xml:space="preserve">умениями, навыками) </w:t>
      </w:r>
    </w:p>
    <w:p w:rsidR="00DE1103" w:rsidRDefault="00FA10B4">
      <w:pPr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должен обладать воспитатель?</w:t>
      </w:r>
    </w:p>
    <w:p w:rsidR="00DE1103" w:rsidRDefault="00DE1103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Таблица. Система работы с кадрами</w:t>
      </w: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tbl>
      <w:tblPr>
        <w:tblStyle w:val="a5"/>
        <w:tblW w:w="15058" w:type="dxa"/>
        <w:tblLook w:val="04A0" w:firstRow="1" w:lastRow="0" w:firstColumn="1" w:lastColumn="0" w:noHBand="0" w:noVBand="1"/>
      </w:tblPr>
      <w:tblGrid>
        <w:gridCol w:w="7529"/>
        <w:gridCol w:w="7529"/>
      </w:tblGrid>
      <w:tr w:rsidR="00DE1103">
        <w:trPr>
          <w:trHeight w:val="156"/>
        </w:trPr>
        <w:tc>
          <w:tcPr>
            <w:tcW w:w="7529" w:type="dxa"/>
          </w:tcPr>
          <w:p w:rsidR="00DE1103" w:rsidRDefault="00FA10B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Этап</w:t>
            </w:r>
          </w:p>
        </w:tc>
        <w:tc>
          <w:tcPr>
            <w:tcW w:w="7529" w:type="dxa"/>
          </w:tcPr>
          <w:p w:rsidR="00DE1103" w:rsidRDefault="00FA10B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Направление</w:t>
            </w:r>
          </w:p>
        </w:tc>
      </w:tr>
      <w:tr w:rsidR="00DE1103">
        <w:trPr>
          <w:trHeight w:val="1040"/>
        </w:trPr>
        <w:tc>
          <w:tcPr>
            <w:tcW w:w="7529" w:type="dxa"/>
          </w:tcPr>
          <w:p w:rsidR="00DE1103" w:rsidRDefault="00FA10B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Мероприятие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ab/>
            </w:r>
          </w:p>
        </w:tc>
        <w:tc>
          <w:tcPr>
            <w:tcW w:w="7529" w:type="dxa"/>
          </w:tcPr>
          <w:p w:rsidR="00DE1103" w:rsidRDefault="00FA10B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Срок</w:t>
            </w:r>
          </w:p>
        </w:tc>
      </w:tr>
      <w:tr w:rsidR="00DE1103">
        <w:trPr>
          <w:trHeight w:val="883"/>
        </w:trPr>
        <w:tc>
          <w:tcPr>
            <w:tcW w:w="7529" w:type="dxa"/>
          </w:tcPr>
          <w:p w:rsidR="00DE1103" w:rsidRDefault="00FA10B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Формат</w:t>
            </w:r>
          </w:p>
        </w:tc>
        <w:tc>
          <w:tcPr>
            <w:tcW w:w="7529" w:type="dxa"/>
          </w:tcPr>
          <w:p w:rsidR="00DE1103" w:rsidRDefault="00FA10B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Ответственный</w:t>
            </w:r>
          </w:p>
        </w:tc>
      </w:tr>
      <w:tr w:rsidR="00DE1103">
        <w:trPr>
          <w:trHeight w:val="1380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1. Диагностика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Выявление дефицитов</w:t>
            </w:r>
          </w:p>
        </w:tc>
      </w:tr>
      <w:tr w:rsidR="00DE1103">
        <w:trPr>
          <w:trHeight w:val="1227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Диагностика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Выявление дефицитов</w:t>
            </w:r>
          </w:p>
        </w:tc>
      </w:tr>
      <w:tr w:rsidR="00DE1103">
        <w:trPr>
          <w:trHeight w:val="1227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2. Обучение / КПК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Развитие компетенций</w:t>
            </w:r>
          </w:p>
        </w:tc>
      </w:tr>
      <w:tr w:rsidR="00DE1103">
        <w:trPr>
          <w:trHeight w:val="1227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lastRenderedPageBreak/>
              <w:t>2. Обучение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Развитие компетенций</w:t>
            </w:r>
          </w:p>
        </w:tc>
      </w:tr>
      <w:tr w:rsidR="00DE1103">
        <w:trPr>
          <w:trHeight w:val="1227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2. Обучение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Обучение новым форматам</w:t>
            </w:r>
          </w:p>
        </w:tc>
      </w:tr>
      <w:tr w:rsidR="00DE1103">
        <w:trPr>
          <w:trHeight w:val="1227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3. Метод.поддержка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Создание ресурса</w:t>
            </w:r>
          </w:p>
        </w:tc>
      </w:tr>
      <w:tr w:rsidR="00DE1103">
        <w:trPr>
          <w:trHeight w:val="1227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4. Саморазвитие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Индивидуальная траектория</w:t>
            </w:r>
          </w:p>
        </w:tc>
      </w:tr>
      <w:tr w:rsidR="00DE1103">
        <w:trPr>
          <w:trHeight w:val="1227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4. Саморазвитие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Мотивация</w:t>
            </w:r>
          </w:p>
        </w:tc>
      </w:tr>
      <w:tr w:rsidR="00DE1103">
        <w:trPr>
          <w:trHeight w:val="1227"/>
        </w:trPr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Контроль качества</w:t>
            </w:r>
          </w:p>
        </w:tc>
        <w:tc>
          <w:tcPr>
            <w:tcW w:w="7529" w:type="dxa"/>
            <w:vAlign w:val="center"/>
          </w:tcPr>
          <w:p w:rsidR="00DE1103" w:rsidRDefault="00FA10B4">
            <w:pPr>
              <w:spacing w:after="0" w:line="375" w:lineRule="atLeast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 xml:space="preserve">Мониторинг </w:t>
            </w:r>
          </w:p>
        </w:tc>
      </w:tr>
    </w:tbl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РАЗДЕЛ 4. ОБМЕН ОПЫТОМ И РАБОТА С ПРОФЕССИОНАЛЬНЫМ СООБЩЕСТВОМ</w:t>
      </w: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tbl>
      <w:tblPr>
        <w:tblStyle w:val="a5"/>
        <w:tblW w:w="15026" w:type="dxa"/>
        <w:tblLook w:val="04A0" w:firstRow="1" w:lastRow="0" w:firstColumn="1" w:lastColumn="0" w:noHBand="0" w:noVBand="1"/>
      </w:tblPr>
      <w:tblGrid>
        <w:gridCol w:w="5008"/>
        <w:gridCol w:w="5009"/>
        <w:gridCol w:w="5009"/>
      </w:tblGrid>
      <w:tr w:rsidR="00DE1103">
        <w:trPr>
          <w:trHeight w:val="1213"/>
        </w:trPr>
        <w:tc>
          <w:tcPr>
            <w:tcW w:w="5008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>Уровень</w:t>
            </w:r>
          </w:p>
        </w:tc>
        <w:tc>
          <w:tcPr>
            <w:tcW w:w="500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Задачи</w:t>
            </w:r>
          </w:p>
        </w:tc>
        <w:tc>
          <w:tcPr>
            <w:tcW w:w="500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Форматы работы</w:t>
            </w:r>
          </w:p>
        </w:tc>
      </w:tr>
      <w:tr w:rsidR="00DE1103">
        <w:trPr>
          <w:trHeight w:val="1271"/>
        </w:trPr>
        <w:tc>
          <w:tcPr>
            <w:tcW w:w="5008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Сроки</w:t>
            </w:r>
          </w:p>
        </w:tc>
        <w:tc>
          <w:tcPr>
            <w:tcW w:w="500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Ответственный</w:t>
            </w:r>
          </w:p>
        </w:tc>
        <w:tc>
          <w:tcPr>
            <w:tcW w:w="5009" w:type="dxa"/>
            <w:vAlign w:val="center"/>
          </w:tcPr>
          <w:p w:rsidR="00DE1103" w:rsidRDefault="00DE1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</w:tr>
      <w:tr w:rsidR="00DE1103">
        <w:trPr>
          <w:trHeight w:val="2269"/>
        </w:trPr>
        <w:tc>
          <w:tcPr>
            <w:tcW w:w="5008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Внутри ДОУ</w:t>
            </w:r>
          </w:p>
          <w:p w:rsidR="00DE1103" w:rsidRDefault="00DE1103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  <w:tc>
          <w:tcPr>
            <w:tcW w:w="500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На уровне района/города</w:t>
            </w:r>
          </w:p>
          <w:p w:rsidR="00DE1103" w:rsidRDefault="00DE1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  <w:tc>
          <w:tcPr>
            <w:tcW w:w="5009" w:type="dxa"/>
            <w:vAlign w:val="center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На региональном / всероссийском уровне</w:t>
            </w:r>
          </w:p>
        </w:tc>
      </w:tr>
    </w:tbl>
    <w:p w:rsidR="00DE1103" w:rsidRDefault="00FA10B4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РАЗДЕЛ 5. ВЗАИМОДЕЙСТВИЕ С </w:t>
      </w:r>
      <w:r>
        <w:rPr>
          <w:rFonts w:ascii="Times New Roman" w:hAnsi="Times New Roman" w:cs="Times New Roman"/>
          <w:b/>
          <w:sz w:val="56"/>
          <w:szCs w:val="56"/>
        </w:rPr>
        <w:t>СОЦИАЛЬНЫМИ ПАРТНЕРАМИ</w:t>
      </w:r>
    </w:p>
    <w:p w:rsidR="00DE1103" w:rsidRDefault="00DE1103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РАЗДЕЛ 4. ОБМЕН ОПЫТОМ И РАБОТА С ПРОФЕССИОНАЛЬНЫМ СООБЩЕСТВОМ</w:t>
      </w: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DE1103">
        <w:trPr>
          <w:trHeight w:val="1578"/>
        </w:trPr>
        <w:tc>
          <w:tcPr>
            <w:tcW w:w="7393" w:type="dxa"/>
            <w:vAlign w:val="center"/>
          </w:tcPr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>Партнер /</w:t>
            </w:r>
          </w:p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взаимодействие</w:t>
            </w:r>
          </w:p>
        </w:tc>
        <w:tc>
          <w:tcPr>
            <w:tcW w:w="7393" w:type="dxa"/>
            <w:vAlign w:val="center"/>
          </w:tcPr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Формат сотрудничества</w:t>
            </w:r>
          </w:p>
        </w:tc>
      </w:tr>
      <w:tr w:rsidR="00DE1103">
        <w:trPr>
          <w:trHeight w:val="1549"/>
        </w:trPr>
        <w:tc>
          <w:tcPr>
            <w:tcW w:w="7393" w:type="dxa"/>
            <w:vAlign w:val="center"/>
          </w:tcPr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Что даёт для просвещения родителей</w:t>
            </w:r>
          </w:p>
        </w:tc>
        <w:tc>
          <w:tcPr>
            <w:tcW w:w="7393" w:type="dxa"/>
            <w:vAlign w:val="center"/>
          </w:tcPr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Ответственный от ДОУ</w:t>
            </w:r>
          </w:p>
        </w:tc>
      </w:tr>
      <w:tr w:rsidR="00DE1103">
        <w:trPr>
          <w:trHeight w:val="1607"/>
        </w:trPr>
        <w:tc>
          <w:tcPr>
            <w:tcW w:w="7393" w:type="dxa"/>
            <w:shd w:val="clear" w:color="auto" w:fill="FFFFFF" w:themeFill="background1"/>
            <w:vAlign w:val="center"/>
          </w:tcPr>
          <w:p w:rsidR="00DE1103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Институты образования  (ориентир на кадры)</w:t>
            </w:r>
          </w:p>
        </w:tc>
        <w:tc>
          <w:tcPr>
            <w:tcW w:w="7393" w:type="dxa"/>
            <w:vAlign w:val="center"/>
          </w:tcPr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Социальные партнеры</w:t>
            </w:r>
          </w:p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(ориентир на родителей)</w:t>
            </w:r>
          </w:p>
        </w:tc>
      </w:tr>
      <w:tr w:rsidR="00DE1103">
        <w:trPr>
          <w:trHeight w:val="1123"/>
        </w:trPr>
        <w:tc>
          <w:tcPr>
            <w:tcW w:w="7393" w:type="dxa"/>
            <w:shd w:val="clear" w:color="auto" w:fill="FFFFFF" w:themeFill="background1"/>
            <w:vAlign w:val="center"/>
          </w:tcPr>
          <w:p w:rsidR="00DE1103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библиотека</w:t>
            </w:r>
          </w:p>
        </w:tc>
        <w:tc>
          <w:tcPr>
            <w:tcW w:w="7393" w:type="dxa"/>
            <w:vAlign w:val="center"/>
          </w:tcPr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поликлиника</w:t>
            </w:r>
          </w:p>
        </w:tc>
      </w:tr>
      <w:tr w:rsidR="00DE1103">
        <w:trPr>
          <w:trHeight w:val="2125"/>
        </w:trPr>
        <w:tc>
          <w:tcPr>
            <w:tcW w:w="7393" w:type="dxa"/>
            <w:vAlign w:val="center"/>
          </w:tcPr>
          <w:p w:rsidR="00DE1103" w:rsidRDefault="00FA10B4">
            <w:pPr>
              <w:spacing w:after="0" w:line="240" w:lineRule="auto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Родительская общественность (Совет родителей)</w:t>
            </w:r>
          </w:p>
        </w:tc>
        <w:tc>
          <w:tcPr>
            <w:tcW w:w="7393" w:type="dxa"/>
            <w:vAlign w:val="center"/>
          </w:tcPr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ДК, </w:t>
            </w:r>
          </w:p>
          <w:p w:rsidR="00DE1103" w:rsidRDefault="00DE1103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  <w:p w:rsidR="00DE1103" w:rsidRDefault="00FA10B4">
            <w:pPr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музей</w:t>
            </w:r>
          </w:p>
        </w:tc>
      </w:tr>
    </w:tbl>
    <w:p w:rsidR="00DE1103" w:rsidRDefault="00FA10B4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Таблица 2. Риски (выберите 1–2 главных риска и заполните)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DE1103">
        <w:trPr>
          <w:trHeight w:val="2084"/>
        </w:trPr>
        <w:tc>
          <w:tcPr>
            <w:tcW w:w="7393" w:type="dxa"/>
          </w:tcPr>
          <w:p w:rsidR="00DE1103" w:rsidRDefault="00FA10B4">
            <w:pPr>
              <w:shd w:val="clear" w:color="auto" w:fill="FFFFFF"/>
              <w:spacing w:before="480" w:after="24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 xml:space="preserve">Риск </w:t>
            </w:r>
          </w:p>
          <w:p w:rsidR="00DE1103" w:rsidRDefault="00FA10B4">
            <w:pPr>
              <w:shd w:val="clear" w:color="auto" w:fill="FFFFFF"/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Что может пойти не так?</w:t>
            </w:r>
          </w:p>
        </w:tc>
        <w:tc>
          <w:tcPr>
            <w:tcW w:w="7393" w:type="dxa"/>
          </w:tcPr>
          <w:p w:rsidR="00DE1103" w:rsidRDefault="00DE1103">
            <w:pPr>
              <w:shd w:val="clear" w:color="auto" w:fill="FFFFFF"/>
              <w:spacing w:before="480" w:after="24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</w:tr>
      <w:tr w:rsidR="00DE1103">
        <w:trPr>
          <w:trHeight w:val="2950"/>
        </w:trPr>
        <w:tc>
          <w:tcPr>
            <w:tcW w:w="7393" w:type="dxa"/>
          </w:tcPr>
          <w:p w:rsidR="00DE1103" w:rsidRDefault="00FA10B4">
            <w:pPr>
              <w:shd w:val="clear" w:color="auto" w:fill="FFFFFF"/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Предупреждение </w:t>
            </w:r>
          </w:p>
          <w:p w:rsidR="00DE1103" w:rsidRDefault="00FA10B4">
            <w:pPr>
              <w:shd w:val="clear" w:color="auto" w:fill="FFFFFF"/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Как предотвратить?</w:t>
            </w:r>
          </w:p>
          <w:p w:rsidR="00DE1103" w:rsidRDefault="00FA10B4">
            <w:pPr>
              <w:shd w:val="clear" w:color="auto" w:fill="FFFFFF"/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Как мы можем через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действия, решения, договоренности и правила предупредить возникновение этого риска</w:t>
            </w:r>
          </w:p>
        </w:tc>
        <w:tc>
          <w:tcPr>
            <w:tcW w:w="7393" w:type="dxa"/>
          </w:tcPr>
          <w:p w:rsidR="00DE1103" w:rsidRDefault="00FA10B4">
            <w:pPr>
              <w:shd w:val="clear" w:color="auto" w:fill="FFFFFF"/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Пути минимизации</w:t>
            </w:r>
          </w:p>
          <w:p w:rsidR="00DE1103" w:rsidRDefault="00FA10B4">
            <w:pPr>
              <w:shd w:val="clear" w:color="auto" w:fill="FFFFFF"/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Что делать, если уже произошло?</w:t>
            </w:r>
          </w:p>
          <w:p w:rsidR="00DE1103" w:rsidRDefault="00FA10B4">
            <w:pPr>
              <w:shd w:val="clear" w:color="auto" w:fill="FFFFFF"/>
              <w:spacing w:after="0" w:line="450" w:lineRule="atLeast"/>
              <w:jc w:val="center"/>
              <w:outlineLvl w:val="2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Что мы будем делать, когда все-таки пойдет не так и риск реализуется?</w:t>
            </w:r>
          </w:p>
        </w:tc>
      </w:tr>
    </w:tbl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DE110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DE1103">
        <w:trPr>
          <w:trHeight w:val="1983"/>
        </w:trPr>
        <w:tc>
          <w:tcPr>
            <w:tcW w:w="7393" w:type="dxa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 xml:space="preserve">Формальное отношение педагогов к просвещению 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t>родителей</w:t>
            </w:r>
          </w:p>
        </w:tc>
        <w:tc>
          <w:tcPr>
            <w:tcW w:w="7393" w:type="dxa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Профессиональное выгорание педагогов</w:t>
            </w:r>
          </w:p>
        </w:tc>
      </w:tr>
      <w:tr w:rsidR="00DE1103">
        <w:tc>
          <w:tcPr>
            <w:tcW w:w="7393" w:type="dxa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Низкая активность и занятость родителей</w:t>
            </w:r>
          </w:p>
        </w:tc>
        <w:tc>
          <w:tcPr>
            <w:tcW w:w="7393" w:type="dxa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Конфликтные ситуации из-за несовпадения воспитательных подходов</w:t>
            </w:r>
          </w:p>
        </w:tc>
      </w:tr>
      <w:tr w:rsidR="00DE1103">
        <w:tc>
          <w:tcPr>
            <w:tcW w:w="7393" w:type="dxa"/>
          </w:tcPr>
          <w:p w:rsidR="00DE1103" w:rsidRDefault="00FA1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sz w:val="52"/>
                <w:szCs w:val="52"/>
              </w:rPr>
              <w:t>Отсутствие материально-</w:t>
            </w:r>
            <w:r>
              <w:rPr>
                <w:rFonts w:ascii="Times New Roman" w:hAnsi="Times New Roman" w:cs="Times New Roman"/>
                <w:sz w:val="52"/>
                <w:szCs w:val="52"/>
              </w:rPr>
              <w:lastRenderedPageBreak/>
              <w:t>технической базы для новых форматов</w:t>
            </w:r>
          </w:p>
        </w:tc>
        <w:tc>
          <w:tcPr>
            <w:tcW w:w="7393" w:type="dxa"/>
          </w:tcPr>
          <w:p w:rsidR="00DE1103" w:rsidRDefault="00DE1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</w:p>
        </w:tc>
      </w:tr>
    </w:tbl>
    <w:p w:rsidR="00DE1103" w:rsidRDefault="00FA10B4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</w:t>
      </w:r>
    </w:p>
    <w:p w:rsidR="00DE1103" w:rsidRDefault="00FA10B4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РАЗДЕЛ 6. РИСКИ РЕАЛИЗАЦИИ ДОРОЖНОЙ КАРТ</w:t>
      </w:r>
      <w:r>
        <w:rPr>
          <w:rFonts w:ascii="Times New Roman" w:hAnsi="Times New Roman" w:cs="Times New Roman"/>
          <w:b/>
          <w:sz w:val="56"/>
          <w:szCs w:val="56"/>
        </w:rPr>
        <w:t>Ы</w:t>
      </w:r>
    </w:p>
    <w:p w:rsidR="00DE1103" w:rsidRDefault="00DE1103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hAnsi="Times New Roman" w:cs="Times New Roman"/>
          <w:b/>
          <w:sz w:val="56"/>
          <w:szCs w:val="56"/>
        </w:rPr>
      </w:pPr>
    </w:p>
    <w:p w:rsidR="00DE1103" w:rsidRDefault="00FA10B4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РАЗДЕЛ 2. МЕРОПРИЯТИЯ ПО ПРОСВЕТИТЕЛЬСКОЙ ДЕЯТЕЛЬНОСТИ С РОДИТЕЛЯМИ </w:t>
      </w:r>
    </w:p>
    <w:sectPr w:rsidR="00DE110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0B4" w:rsidRDefault="00FA10B4">
      <w:pPr>
        <w:spacing w:line="240" w:lineRule="auto"/>
      </w:pPr>
      <w:r>
        <w:separator/>
      </w:r>
    </w:p>
  </w:endnote>
  <w:endnote w:type="continuationSeparator" w:id="0">
    <w:p w:rsidR="00FA10B4" w:rsidRDefault="00FA10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0B4" w:rsidRDefault="00FA10B4">
      <w:pPr>
        <w:spacing w:after="0"/>
      </w:pPr>
      <w:r>
        <w:separator/>
      </w:r>
    </w:p>
  </w:footnote>
  <w:footnote w:type="continuationSeparator" w:id="0">
    <w:p w:rsidR="00FA10B4" w:rsidRDefault="00FA10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41"/>
    <w:rsid w:val="000F75DC"/>
    <w:rsid w:val="00127285"/>
    <w:rsid w:val="00146A41"/>
    <w:rsid w:val="001C53F8"/>
    <w:rsid w:val="002E0E72"/>
    <w:rsid w:val="003540B1"/>
    <w:rsid w:val="004A187B"/>
    <w:rsid w:val="0058578A"/>
    <w:rsid w:val="006A32CE"/>
    <w:rsid w:val="00940B61"/>
    <w:rsid w:val="00942C95"/>
    <w:rsid w:val="00991384"/>
    <w:rsid w:val="009F7BF5"/>
    <w:rsid w:val="00A11814"/>
    <w:rsid w:val="00BB7B53"/>
    <w:rsid w:val="00CD5A6F"/>
    <w:rsid w:val="00DE1103"/>
    <w:rsid w:val="00E103B6"/>
    <w:rsid w:val="00E505B8"/>
    <w:rsid w:val="00E867B6"/>
    <w:rsid w:val="00EE4110"/>
    <w:rsid w:val="00FA10B4"/>
    <w:rsid w:val="5EA4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900EE6-DE0D-4F28-BC8A-872FD121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8E732-F4E5-45C5-B835-47B157BC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metodist</cp:lastModifiedBy>
  <cp:revision>2</cp:revision>
  <cp:lastPrinted>2026-04-27T08:53:00Z</cp:lastPrinted>
  <dcterms:created xsi:type="dcterms:W3CDTF">2026-04-07T06:43:00Z</dcterms:created>
  <dcterms:modified xsi:type="dcterms:W3CDTF">2026-04-27T08:54:00Z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eyJoZGlkIjoiMDNiMTgyMzUwMGJlYjdmMGY5NGUxMzNiN2MxNTYzNDIifQ==</vt:lpwstr>
  </property>
  <property fmtid="{D5CDD505-2E9C-101B-9397-08002B2CF9AE}" pid="3" name="KSOProductBuildVer">
    <vt:lpwstr>1049-12.1.0.25242</vt:lpwstr>
  </property>
  <property fmtid="{D5CDD505-2E9C-101B-9397-08002B2CF9AE}" pid="4" name="ICV">
    <vt:lpwstr>65C40F8D6C03414D840070BDC2598900_12</vt:lpwstr>
  </property>
</Properties>
</file>