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25" w:rsidRDefault="00FE1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3899"/>
        <w:gridCol w:w="779"/>
        <w:gridCol w:w="4075"/>
      </w:tblGrid>
      <w:tr w:rsidR="003B392F" w:rsidTr="003B392F">
        <w:tc>
          <w:tcPr>
            <w:tcW w:w="4531" w:type="dxa"/>
          </w:tcPr>
          <w:p w:rsidR="003B392F" w:rsidRPr="009250F1" w:rsidRDefault="009250F1">
            <w:pPr>
              <w:rPr>
                <w:b/>
              </w:rPr>
            </w:pPr>
            <w:r w:rsidRPr="009250F1">
              <w:rPr>
                <w:b/>
              </w:rPr>
              <w:t>Система оценки</w:t>
            </w:r>
          </w:p>
        </w:tc>
        <w:tc>
          <w:tcPr>
            <w:tcW w:w="5175" w:type="dxa"/>
            <w:gridSpan w:val="2"/>
          </w:tcPr>
          <w:p w:rsidR="003B392F" w:rsidRDefault="003B392F">
            <w:r>
              <w:t>Я  - учитель</w:t>
            </w:r>
          </w:p>
        </w:tc>
        <w:tc>
          <w:tcPr>
            <w:tcW w:w="4854" w:type="dxa"/>
            <w:gridSpan w:val="2"/>
          </w:tcPr>
          <w:p w:rsidR="003B392F" w:rsidRDefault="003B392F" w:rsidP="00DD7602">
            <w:r>
              <w:t xml:space="preserve">Я  - руководитель </w:t>
            </w:r>
            <w:r w:rsidR="00DD7602">
              <w:t>Ш</w:t>
            </w:r>
            <w:r>
              <w:t>МО</w:t>
            </w:r>
          </w:p>
        </w:tc>
      </w:tr>
      <w:tr w:rsidR="003B392F" w:rsidTr="003B392F">
        <w:tc>
          <w:tcPr>
            <w:tcW w:w="4531" w:type="dxa"/>
          </w:tcPr>
          <w:p w:rsidR="003B392F" w:rsidRDefault="003B392F" w:rsidP="00DB221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 w:rsidRPr="003B392F">
              <w:t>Внутреннее оценивание</w:t>
            </w:r>
            <w:r>
              <w:t xml:space="preserve"> (Текущее. Промежуточное, стартовые работы, комплексные работы)</w:t>
            </w: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B392F" w:rsidRDefault="003B392F" w:rsidP="00DB221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>Внешнее (ГИА, ВПР, мониторинговые исследования)</w:t>
            </w: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DA7EA7" w:rsidRDefault="00DA7EA7" w:rsidP="00DB221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>Подходы: системно-деятельностный, уровневый, комплексный</w:t>
            </w: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3467E6" w:rsidRDefault="003467E6" w:rsidP="003467E6">
            <w:pPr>
              <w:jc w:val="both"/>
            </w:pPr>
          </w:p>
          <w:p w:rsidR="00D65D24" w:rsidRDefault="00D65D24" w:rsidP="00DB221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>Оцениваются:</w:t>
            </w:r>
          </w:p>
          <w:p w:rsidR="00D65D24" w:rsidRDefault="00D65D24" w:rsidP="00DB221D">
            <w:pPr>
              <w:pStyle w:val="a4"/>
              <w:numPr>
                <w:ilvl w:val="1"/>
                <w:numId w:val="2"/>
              </w:numPr>
              <w:ind w:left="306" w:firstLine="0"/>
              <w:jc w:val="both"/>
            </w:pPr>
            <w:r>
              <w:t>Личностные</w:t>
            </w:r>
            <w:r w:rsidR="00E86C49">
              <w:t xml:space="preserve"> (</w:t>
            </w:r>
            <w:r w:rsidR="00E86C49" w:rsidRPr="00E86C49">
              <w:t>обще</w:t>
            </w:r>
            <w:r w:rsidR="00E86C49">
              <w:t>е</w:t>
            </w:r>
            <w:r w:rsidR="00E86C49" w:rsidRPr="00E86C49">
              <w:t xml:space="preserve"> представлени</w:t>
            </w:r>
            <w:r w:rsidR="00E86C49">
              <w:t>е</w:t>
            </w:r>
            <w:r w:rsidR="00E86C49" w:rsidRPr="00E86C49">
              <w:t xml:space="preserve"> о воспитательной деятельности образовательной организации и еѐ влиянии на коллектив обучающихся</w:t>
            </w:r>
            <w:r w:rsidR="00E86C49">
              <w:t>)</w:t>
            </w:r>
          </w:p>
          <w:p w:rsidR="00DA7EA7" w:rsidRDefault="00D65D24" w:rsidP="00DB221D">
            <w:pPr>
              <w:pStyle w:val="a4"/>
              <w:numPr>
                <w:ilvl w:val="1"/>
                <w:numId w:val="2"/>
              </w:numPr>
              <w:ind w:left="306" w:firstLine="0"/>
              <w:jc w:val="both"/>
            </w:pPr>
            <w:r>
              <w:t>Метапредметные</w:t>
            </w:r>
          </w:p>
          <w:p w:rsidR="00DA7EA7" w:rsidRDefault="00DA7EA7" w:rsidP="00DA7EA7">
            <w:pPr>
              <w:ind w:left="306"/>
              <w:jc w:val="both"/>
            </w:pPr>
            <w:r>
              <w:t xml:space="preserve"> </w:t>
            </w:r>
            <w:r w:rsidR="00E86C49">
              <w:t xml:space="preserve">отдельные </w:t>
            </w:r>
            <w:r w:rsidR="00E86C49" w:rsidRPr="00E86C49">
              <w:t>метапредметны</w:t>
            </w:r>
            <w:r w:rsidR="00E86C49">
              <w:t>е результаты</w:t>
            </w:r>
            <w:r>
              <w:t xml:space="preserve"> (критерии проекта)</w:t>
            </w:r>
            <w:r w:rsidR="00E86C49">
              <w:t>,</w:t>
            </w:r>
          </w:p>
          <w:p w:rsidR="00D65D24" w:rsidRDefault="00E86C49" w:rsidP="00DA7EA7">
            <w:pPr>
              <w:ind w:left="306"/>
              <w:jc w:val="both"/>
            </w:pPr>
            <w:r>
              <w:t xml:space="preserve"> </w:t>
            </w:r>
            <w:r w:rsidRPr="00E86C49">
              <w:t>метапредметны</w:t>
            </w:r>
            <w:r w:rsidR="00DA7EA7">
              <w:t>е</w:t>
            </w:r>
            <w:r>
              <w:t xml:space="preserve"> действия</w:t>
            </w:r>
            <w:r w:rsidR="00DA7EA7">
              <w:t xml:space="preserve"> (продумать задания</w:t>
            </w:r>
            <w:r>
              <w:t>)</w:t>
            </w:r>
          </w:p>
          <w:p w:rsidR="003B392F" w:rsidRDefault="00E86C49" w:rsidP="00DB221D">
            <w:pPr>
              <w:pStyle w:val="a4"/>
              <w:numPr>
                <w:ilvl w:val="1"/>
                <w:numId w:val="2"/>
              </w:numPr>
              <w:ind w:left="306" w:firstLine="0"/>
              <w:jc w:val="both"/>
            </w:pPr>
            <w:r>
              <w:t>П</w:t>
            </w:r>
            <w:r w:rsidR="00D65D24">
              <w:t>редметные</w:t>
            </w:r>
            <w:r>
              <w:t xml:space="preserve"> (знание , применение, функциональность)</w:t>
            </w:r>
          </w:p>
        </w:tc>
        <w:tc>
          <w:tcPr>
            <w:tcW w:w="5175" w:type="dxa"/>
            <w:gridSpan w:val="2"/>
          </w:tcPr>
          <w:p w:rsidR="003B392F" w:rsidRDefault="003B392F" w:rsidP="00DB221D"/>
        </w:tc>
        <w:tc>
          <w:tcPr>
            <w:tcW w:w="4854" w:type="dxa"/>
            <w:gridSpan w:val="2"/>
          </w:tcPr>
          <w:p w:rsidR="003B392F" w:rsidRDefault="003B392F" w:rsidP="00DB221D"/>
        </w:tc>
      </w:tr>
      <w:tr w:rsidR="000D711F" w:rsidTr="000D711F">
        <w:tc>
          <w:tcPr>
            <w:tcW w:w="5807" w:type="dxa"/>
            <w:gridSpan w:val="2"/>
          </w:tcPr>
          <w:p w:rsidR="000D711F" w:rsidRPr="009250F1" w:rsidRDefault="000D711F" w:rsidP="000D711F">
            <w:pPr>
              <w:rPr>
                <w:b/>
              </w:rPr>
            </w:pPr>
            <w:r w:rsidRPr="009250F1">
              <w:rPr>
                <w:b/>
              </w:rPr>
              <w:lastRenderedPageBreak/>
              <w:t>КОНЦЕПЦИЯ</w:t>
            </w:r>
          </w:p>
          <w:p w:rsidR="000D711F" w:rsidRPr="009250F1" w:rsidRDefault="000D711F" w:rsidP="000D711F">
            <w:pPr>
              <w:rPr>
                <w:b/>
              </w:rPr>
            </w:pPr>
            <w:r w:rsidRPr="009250F1">
              <w:rPr>
                <w:b/>
              </w:rPr>
              <w:t>СОЗДАНИЯ ЕДИНОЙ ФЕДЕРАЛЬНОЙ СИСТЕМЫ НАУЧНО-МЕТОДИЧЕСКОГО</w:t>
            </w:r>
          </w:p>
          <w:p w:rsidR="000D711F" w:rsidRPr="009250F1" w:rsidRDefault="000D711F" w:rsidP="000D711F">
            <w:pPr>
              <w:rPr>
                <w:b/>
              </w:rPr>
            </w:pPr>
            <w:r w:rsidRPr="009250F1">
              <w:rPr>
                <w:b/>
              </w:rPr>
              <w:t>СОПРОВОЖДЕНИЯ ПЕДАГОГИЧЕСКИХ РАБОТНИКОВ</w:t>
            </w:r>
          </w:p>
          <w:p w:rsidR="000D711F" w:rsidRDefault="000D711F" w:rsidP="000D711F">
            <w:r w:rsidRPr="009250F1">
              <w:rPr>
                <w:b/>
              </w:rPr>
              <w:t>И УПРАВЛЕНЧЕСКИХ КАДРОВ</w:t>
            </w:r>
          </w:p>
        </w:tc>
        <w:tc>
          <w:tcPr>
            <w:tcW w:w="4678" w:type="dxa"/>
            <w:gridSpan w:val="2"/>
          </w:tcPr>
          <w:p w:rsidR="000D711F" w:rsidRDefault="000D711F" w:rsidP="00DB221D">
            <w:r>
              <w:t>Я учитель</w:t>
            </w:r>
          </w:p>
        </w:tc>
        <w:tc>
          <w:tcPr>
            <w:tcW w:w="4075" w:type="dxa"/>
          </w:tcPr>
          <w:p w:rsidR="000D711F" w:rsidRDefault="000D711F" w:rsidP="00DD7602">
            <w:r>
              <w:t xml:space="preserve">Я – руководитель </w:t>
            </w:r>
            <w:r w:rsidR="00DD7602">
              <w:t>Ш</w:t>
            </w:r>
            <w:r>
              <w:t>МО</w:t>
            </w:r>
          </w:p>
        </w:tc>
      </w:tr>
      <w:tr w:rsidR="000D711F" w:rsidTr="000D711F">
        <w:tc>
          <w:tcPr>
            <w:tcW w:w="5807" w:type="dxa"/>
            <w:gridSpan w:val="2"/>
          </w:tcPr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на территории РФ  формируется единое научно-методическое пространство сопровождения педагогических работников и управленческих кадров, состоящее из субъектов научно-методической деятельности федерального, регионального, муниципального уровней и уровня образовательной организации;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на территории РФ формируется сеть научно-методических центров, осуществляющих на системной и регулярной основах интеграцию результатов научных исследований в реальную педагогическую практику;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на территории субъектов РФ актами органов исполнительной власти, осуществляющих государственное управление в сфере образования, созданы региональные сегменты ЕФС;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на территории субъектов РФ сформирована сеть ЦНППМ, осуществляющих координацию деятельности и комплексное организационно-методическое сопровождение субъектов РС НМС и взаимодействие с координатором ЕФС;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на территории субъектов РФ формируется сеть региональных методических активов, осуществляющих адресное методическое сопровождение педагогических работников и управленческих кадров, в том числе - в формате индивидуальных образовательных маршрутов непрерывного развития профессионального мастерства;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lastRenderedPageBreak/>
              <w:t>сформирован и непрерывно пополняется Федеральный реестр, аккумулирующий программы ДПО, разработанные с учетом единого подхода к управлению качеством дополнительного профессионального образования педагогических работников и управленческих кадров;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разработан и реализован (в том числе - в форме стажировок, по каскадной модели реализации программ ДПО т.д.) комплекс адресных программ ДПО для педагогических работников и управленческих кадров (включая управленческие команды) по ведущим тематикам и флагманским направлениям развития государственной образовательной политики, например: проект "Школа Министерства просвещения России", внедрение обновленных ФГОС, развитие функциональной грамотности, цифровизация образования, совершенствование предметных и методических компетенций, актуальные вопросы деятельности классных руководителей, педагогическое наставничество и т.д.;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организована и проводится диагностика предметных и методических компетенций педагогических работников;</w:t>
            </w:r>
          </w:p>
          <w:p w:rsidR="000D711F" w:rsidRPr="009250F1" w:rsidRDefault="000D711F" w:rsidP="00DA7E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250F1">
              <w:rPr>
                <w:sz w:val="24"/>
                <w:szCs w:val="24"/>
              </w:rPr>
              <w:t>создана автоматизированная информационная система ЕФС, аккумулирующая широкий спектр цифровых инструментов, ресурсов и онлайн-курсов и включающая в себя цифровую экосистему ДПО - единую образовательную платформу в области дополнительного профессионального образования педагогических работников и управленческих кадров - и Федеральный реестр.</w:t>
            </w:r>
          </w:p>
        </w:tc>
        <w:tc>
          <w:tcPr>
            <w:tcW w:w="4678" w:type="dxa"/>
            <w:gridSpan w:val="2"/>
          </w:tcPr>
          <w:p w:rsidR="000D711F" w:rsidRDefault="000D711F" w:rsidP="00DB221D"/>
        </w:tc>
        <w:tc>
          <w:tcPr>
            <w:tcW w:w="4075" w:type="dxa"/>
          </w:tcPr>
          <w:p w:rsidR="000D711F" w:rsidRDefault="000D711F" w:rsidP="00DB221D"/>
        </w:tc>
      </w:tr>
    </w:tbl>
    <w:p w:rsidR="002454F2" w:rsidRDefault="002454F2" w:rsidP="00DB221D"/>
    <w:p w:rsidR="00DA7EA7" w:rsidRDefault="00DA7E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567"/>
        <w:gridCol w:w="3969"/>
        <w:gridCol w:w="4075"/>
      </w:tblGrid>
      <w:tr w:rsidR="002454F2" w:rsidTr="002454F2">
        <w:tc>
          <w:tcPr>
            <w:tcW w:w="5949" w:type="dxa"/>
          </w:tcPr>
          <w:p w:rsidR="002454F2" w:rsidRPr="009250F1" w:rsidRDefault="002454F2" w:rsidP="002454F2">
            <w:pPr>
              <w:rPr>
                <w:b/>
              </w:rPr>
            </w:pPr>
            <w:r w:rsidRPr="009250F1">
              <w:rPr>
                <w:b/>
              </w:rPr>
              <w:t>УКАЗ  ПРЕЗИДЕНТА РОССИЙСКОЙ ФЕДЕРАЦИИ</w:t>
            </w:r>
          </w:p>
          <w:p w:rsidR="002454F2" w:rsidRDefault="002454F2" w:rsidP="002454F2">
            <w:r w:rsidRPr="009250F1">
              <w:rPr>
                <w:b/>
              </w:rPr>
              <w:t>Об утверждении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4536" w:type="dxa"/>
            <w:gridSpan w:val="2"/>
          </w:tcPr>
          <w:p w:rsidR="002454F2" w:rsidRDefault="002454F2" w:rsidP="00DB221D">
            <w:r>
              <w:t>Я - учитель</w:t>
            </w:r>
          </w:p>
        </w:tc>
        <w:tc>
          <w:tcPr>
            <w:tcW w:w="4075" w:type="dxa"/>
          </w:tcPr>
          <w:p w:rsidR="002454F2" w:rsidRDefault="002454F2" w:rsidP="00DD7602">
            <w:r>
              <w:t xml:space="preserve">Я  руководитель </w:t>
            </w:r>
            <w:r w:rsidR="00DD7602">
              <w:t>Ш</w:t>
            </w:r>
            <w:r>
              <w:t>МО</w:t>
            </w:r>
          </w:p>
        </w:tc>
      </w:tr>
      <w:tr w:rsidR="002454F2" w:rsidTr="002454F2">
        <w:tc>
          <w:tcPr>
            <w:tcW w:w="5949" w:type="dxa"/>
          </w:tcPr>
          <w:p w:rsidR="002454F2" w:rsidRPr="002454F2" w:rsidRDefault="002454F2" w:rsidP="00234E84">
            <w:pPr>
              <w:jc w:val="both"/>
            </w:pPr>
            <w:r w:rsidRPr="002454F2">
              <w:t>24. Реализация стратегического национального приоритета "Защита традиционных российских духовно-нравственных ценностей, культуры и исторической памяти" предполагает решение следующих задач государственной политики по сохранению и укреплению традиционных ценностей:</w:t>
            </w:r>
          </w:p>
          <w:p w:rsidR="002454F2" w:rsidRPr="002454F2" w:rsidRDefault="002454F2" w:rsidP="00234E84">
            <w:pPr>
              <w:jc w:val="both"/>
            </w:pPr>
            <w:r w:rsidRPr="002454F2">
              <w:t>а)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б)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г)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      </w:r>
          </w:p>
          <w:p w:rsidR="002454F2" w:rsidRPr="002454F2" w:rsidRDefault="002454F2" w:rsidP="00234E84">
            <w:pPr>
              <w:jc w:val="both"/>
            </w:pPr>
            <w:r w:rsidRPr="002454F2">
              <w:t xml:space="preserve">е) поддержка общественных проектов и институтов гражданского общества в области патриотического </w:t>
            </w:r>
            <w:r w:rsidRPr="002454F2">
              <w:lastRenderedPageBreak/>
              <w:t>воспитания и сохранения историко-культурного наследия народов России;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ж)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з) формирование государственного заказа на проведение научных исследований, создание информационных и методических материалов (в том числе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и)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к) поддержка проектов, направленных на продвижение традиционных ценностей в информационной среде;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л)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      </w:r>
          </w:p>
          <w:p w:rsidR="002454F2" w:rsidRPr="002454F2" w:rsidRDefault="002454F2" w:rsidP="00234E84">
            <w:pPr>
              <w:jc w:val="both"/>
            </w:pPr>
            <w:r w:rsidRPr="002454F2">
              <w:t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      </w:r>
          </w:p>
          <w:p w:rsidR="002454F2" w:rsidRDefault="002454F2" w:rsidP="00234E84">
            <w:pPr>
              <w:jc w:val="both"/>
            </w:pPr>
            <w:r w:rsidRPr="002454F2">
              <w:t>н)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      </w:r>
          </w:p>
        </w:tc>
        <w:tc>
          <w:tcPr>
            <w:tcW w:w="4536" w:type="dxa"/>
            <w:gridSpan w:val="2"/>
          </w:tcPr>
          <w:p w:rsidR="002454F2" w:rsidRDefault="002454F2" w:rsidP="00DB221D"/>
        </w:tc>
        <w:tc>
          <w:tcPr>
            <w:tcW w:w="4075" w:type="dxa"/>
          </w:tcPr>
          <w:p w:rsidR="002454F2" w:rsidRDefault="002454F2" w:rsidP="00DB221D"/>
        </w:tc>
      </w:tr>
      <w:tr w:rsidR="00BE078B" w:rsidTr="00907F2F">
        <w:tc>
          <w:tcPr>
            <w:tcW w:w="6516" w:type="dxa"/>
            <w:gridSpan w:val="2"/>
          </w:tcPr>
          <w:p w:rsidR="00BE078B" w:rsidRPr="009157FE" w:rsidRDefault="009157FE" w:rsidP="00DB221D">
            <w:pPr>
              <w:rPr>
                <w:b/>
              </w:rPr>
            </w:pPr>
            <w:r w:rsidRPr="009157FE">
              <w:rPr>
                <w:b/>
              </w:rPr>
              <w:lastRenderedPageBreak/>
              <w:t xml:space="preserve">ФООП </w:t>
            </w:r>
          </w:p>
        </w:tc>
        <w:tc>
          <w:tcPr>
            <w:tcW w:w="3969" w:type="dxa"/>
          </w:tcPr>
          <w:p w:rsidR="00BE078B" w:rsidRDefault="009157FE" w:rsidP="00DB221D">
            <w:r>
              <w:t>Я - учитель</w:t>
            </w:r>
          </w:p>
        </w:tc>
        <w:tc>
          <w:tcPr>
            <w:tcW w:w="4075" w:type="dxa"/>
          </w:tcPr>
          <w:p w:rsidR="00BE078B" w:rsidRDefault="009157FE" w:rsidP="00DD7602">
            <w:r>
              <w:t xml:space="preserve">Я – руководитель </w:t>
            </w:r>
            <w:r w:rsidR="00DD7602">
              <w:t>Ш</w:t>
            </w:r>
            <w:r>
              <w:t>МО</w:t>
            </w:r>
          </w:p>
        </w:tc>
      </w:tr>
      <w:tr w:rsidR="00BE078B" w:rsidTr="00907F2F">
        <w:tc>
          <w:tcPr>
            <w:tcW w:w="6516" w:type="dxa"/>
            <w:gridSpan w:val="2"/>
          </w:tcPr>
          <w:p w:rsidR="00BE078B" w:rsidRDefault="00BE078B" w:rsidP="009157FE">
            <w:pPr>
              <w:pStyle w:val="a4"/>
              <w:numPr>
                <w:ilvl w:val="0"/>
                <w:numId w:val="4"/>
              </w:numPr>
              <w:ind w:left="22" w:hanging="22"/>
              <w:jc w:val="both"/>
            </w:pPr>
            <w:r w:rsidRPr="00BE078B">
              <w:t>введение ФООП является обязательным с 1 сентября 2023 г. для обучающихся всех классов (с первого по одиннадцатый) всех образовательных организаций, реализующих образовательные программы начального общего, основного общего,</w:t>
            </w:r>
            <w:r w:rsidR="009157FE">
              <w:t xml:space="preserve"> среднего общего образования. </w:t>
            </w:r>
          </w:p>
          <w:p w:rsidR="00942545" w:rsidRDefault="00942545" w:rsidP="00942545">
            <w:pPr>
              <w:pStyle w:val="a4"/>
              <w:ind w:left="22"/>
              <w:jc w:val="both"/>
            </w:pPr>
          </w:p>
          <w:p w:rsidR="009157FE" w:rsidRDefault="009157FE" w:rsidP="009157F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</w:pPr>
            <w:r w:rsidRPr="009157FE">
              <w:t>При переходе на ФООП не в первый год изучения учебного предмета на соответствующем уровне общего образования необходимо предусмотреть особый порядок учебного планирования (переходный период).</w:t>
            </w:r>
          </w:p>
          <w:p w:rsidR="00942545" w:rsidRDefault="00942545" w:rsidP="00234E84">
            <w:pPr>
              <w:jc w:val="both"/>
            </w:pPr>
          </w:p>
          <w:p w:rsidR="00234E84" w:rsidRDefault="00563249" w:rsidP="00234E84">
            <w:pPr>
              <w:jc w:val="both"/>
            </w:pPr>
            <w:r>
              <w:t>3.</w:t>
            </w:r>
            <w:r w:rsidRPr="00563249">
              <w:t xml:space="preserve"> Для каждого из профилей обучения на уровне среднего общего образования предлагается учебный план с учетом соблюдения требований ФГОС среднего общего образования: включение не менее 13 учебных предметов</w:t>
            </w:r>
            <w:r>
              <w:t xml:space="preserve">. </w:t>
            </w:r>
            <w:r w:rsidRPr="00563249">
              <w:t>Для каждого из профилей обучения на уровне среднего общего образования предлагается учебный план с учетом соблюдения требований ФГОС среднего общего образования: включение не менее 13 учебных предметов</w:t>
            </w:r>
          </w:p>
          <w:p w:rsidR="00234E84" w:rsidRDefault="00234E84" w:rsidP="00234E84">
            <w:pPr>
              <w:jc w:val="both"/>
            </w:pPr>
          </w:p>
          <w:p w:rsidR="009157FE" w:rsidRDefault="00563249" w:rsidP="00563249">
            <w:pPr>
              <w:ind w:firstLine="22"/>
              <w:jc w:val="both"/>
            </w:pPr>
            <w:r>
              <w:t>4</w:t>
            </w:r>
            <w:r w:rsidR="00907F2F">
              <w:t>.</w:t>
            </w:r>
            <w:r w:rsidR="00942545">
              <w:t xml:space="preserve"> </w:t>
            </w:r>
            <w:r w:rsidR="009157FE">
              <w:t xml:space="preserve">ООП </w:t>
            </w:r>
            <w:r w:rsidR="009157FE" w:rsidRPr="009157FE">
              <w:t>все</w:t>
            </w:r>
            <w:r w:rsidR="009157FE">
              <w:t>х образовательных организаций РФ</w:t>
            </w:r>
            <w:r w:rsidR="009157FE" w:rsidRPr="009157FE">
              <w:t xml:space="preserve"> подлежат приведению в соответствие с ФООП не позднее 1 сентября 2023 года.</w:t>
            </w:r>
          </w:p>
          <w:p w:rsidR="00D83285" w:rsidRDefault="00D83285" w:rsidP="00563249">
            <w:pPr>
              <w:ind w:firstLine="22"/>
              <w:jc w:val="both"/>
            </w:pPr>
          </w:p>
          <w:p w:rsidR="00D83285" w:rsidRDefault="00D83285" w:rsidP="00CD37E1">
            <w:pPr>
              <w:pStyle w:val="a4"/>
              <w:numPr>
                <w:ilvl w:val="0"/>
                <w:numId w:val="1"/>
              </w:numPr>
              <w:ind w:left="22" w:firstLine="22"/>
              <w:jc w:val="both"/>
            </w:pPr>
            <w:r>
              <w:t>В учебном плане образовательной организации, а также</w:t>
            </w:r>
            <w:r w:rsidR="00942545">
              <w:t xml:space="preserve"> </w:t>
            </w:r>
            <w:r>
              <w:t>при ведении классного журнала в 7-9 классах указывается наименование</w:t>
            </w:r>
            <w:r w:rsidR="00942545">
              <w:t xml:space="preserve"> </w:t>
            </w:r>
            <w:r>
              <w:t>конкретного учебного курса «Алгебра», «Геометрия» или «Вероятность</w:t>
            </w:r>
            <w:r w:rsidR="00942545">
              <w:t xml:space="preserve"> </w:t>
            </w:r>
            <w:r>
              <w:t>и статистика», а при выставлении итоговой оценки в аттестат указывается</w:t>
            </w:r>
            <w:r w:rsidR="00942545">
              <w:t xml:space="preserve"> </w:t>
            </w:r>
            <w:r>
              <w:t>наименование учебного предмета «Математика» и проставляется оценка</w:t>
            </w:r>
            <w:r w:rsidR="00942545">
              <w:t xml:space="preserve"> </w:t>
            </w:r>
            <w:r>
              <w:t>как среднее арифметическое годовых отметок по трем учебным курсам</w:t>
            </w:r>
            <w:r w:rsidR="00942545">
              <w:t xml:space="preserve"> </w:t>
            </w:r>
            <w:r>
              <w:t>и экзаменационной отметки выпускника.</w:t>
            </w:r>
          </w:p>
          <w:p w:rsidR="00942545" w:rsidRDefault="00942545" w:rsidP="00D83285">
            <w:pPr>
              <w:ind w:firstLine="22"/>
              <w:jc w:val="both"/>
            </w:pPr>
          </w:p>
          <w:p w:rsidR="00942545" w:rsidRDefault="00942545" w:rsidP="0094254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>
              <w:t xml:space="preserve">Содержание и планируемые результаты разработанных образовательными организациями образовательных программ начального общего, основного общего и среднего общего </w:t>
            </w:r>
            <w:r>
              <w:lastRenderedPageBreak/>
              <w:t>образования должны быть не ниже соответствующих содержания и</w:t>
            </w:r>
          </w:p>
          <w:p w:rsidR="00942545" w:rsidRDefault="00942545" w:rsidP="00942545">
            <w:pPr>
              <w:ind w:firstLine="22"/>
              <w:jc w:val="both"/>
            </w:pPr>
            <w:r>
              <w:t>планируемых результатов ФООП</w:t>
            </w:r>
          </w:p>
          <w:p w:rsidR="00942545" w:rsidRDefault="00942545" w:rsidP="00942545">
            <w:pPr>
              <w:ind w:firstLine="22"/>
              <w:jc w:val="both"/>
            </w:pPr>
          </w:p>
          <w:p w:rsidR="00942545" w:rsidRDefault="00942545" w:rsidP="00D65CF8">
            <w:pPr>
              <w:pStyle w:val="a4"/>
              <w:numPr>
                <w:ilvl w:val="0"/>
                <w:numId w:val="1"/>
              </w:numPr>
              <w:ind w:left="22" w:firstLine="22"/>
              <w:jc w:val="both"/>
            </w:pPr>
            <w:r>
      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образовательной программы в порядке, установленном локальными нормативными актами образовательной организации.</w:t>
            </w:r>
          </w:p>
          <w:p w:rsidR="00942545" w:rsidRDefault="00942545" w:rsidP="00942545">
            <w:pPr>
              <w:ind w:firstLine="22"/>
              <w:jc w:val="both"/>
            </w:pPr>
          </w:p>
          <w:p w:rsidR="00942545" w:rsidRDefault="00942545" w:rsidP="00942545">
            <w:pPr>
              <w:pStyle w:val="a4"/>
              <w:numPr>
                <w:ilvl w:val="0"/>
                <w:numId w:val="1"/>
              </w:numPr>
              <w:ind w:left="22" w:firstLine="0"/>
              <w:jc w:val="both"/>
            </w:pPr>
            <w:r>
              <w:t>В интересах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</w:t>
            </w:r>
            <w:r w:rsidR="00907F2F">
              <w:t xml:space="preserve"> </w:t>
            </w:r>
            <w:r>
              <w:t>темп и формы образования). Реализация индивидуальных учебных планов, программ сопровождается тьюторской поддержкой</w:t>
            </w:r>
          </w:p>
          <w:p w:rsidR="00907F2F" w:rsidRDefault="00907F2F" w:rsidP="00907F2F">
            <w:pPr>
              <w:pStyle w:val="a4"/>
            </w:pPr>
          </w:p>
          <w:p w:rsidR="00907F2F" w:rsidRDefault="00907F2F" w:rsidP="00907F2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 w:rsidRPr="00907F2F">
              <w:t>Образовательные организации вп</w:t>
            </w:r>
            <w:r>
              <w:t xml:space="preserve">раве непосредственно применять </w:t>
            </w:r>
            <w:r w:rsidRPr="00907F2F">
              <w:t>при реализации соответствующих основных общеобразовательных программ федеральные образовательные программы, а также предусмотреть применение федерального учебного плана, и (или) федерального календарного учебного графика, и (или)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 При этом, в соответствии с частью 62 статьи 12 ФЗ № 273-ФЗ образовательные организации вправе перераспределить время, предусмотренное в федеральном учебном плане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</w:t>
            </w:r>
          </w:p>
          <w:p w:rsidR="00D83285" w:rsidRDefault="00D83285" w:rsidP="00563249">
            <w:pPr>
              <w:ind w:firstLine="22"/>
              <w:jc w:val="both"/>
            </w:pPr>
          </w:p>
        </w:tc>
        <w:tc>
          <w:tcPr>
            <w:tcW w:w="3969" w:type="dxa"/>
          </w:tcPr>
          <w:p w:rsidR="00BE078B" w:rsidRDefault="00BE078B" w:rsidP="00DB221D"/>
        </w:tc>
        <w:tc>
          <w:tcPr>
            <w:tcW w:w="4075" w:type="dxa"/>
          </w:tcPr>
          <w:p w:rsidR="00BE078B" w:rsidRDefault="00BE078B" w:rsidP="00DB221D">
            <w:bookmarkStart w:id="0" w:name="_GoBack"/>
            <w:bookmarkEnd w:id="0"/>
          </w:p>
        </w:tc>
      </w:tr>
    </w:tbl>
    <w:p w:rsidR="00D83285" w:rsidRDefault="00D83285" w:rsidP="00DB22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83285" w:rsidTr="00D83285">
        <w:tc>
          <w:tcPr>
            <w:tcW w:w="4853" w:type="dxa"/>
          </w:tcPr>
          <w:p w:rsidR="00D83285" w:rsidRPr="007F37B8" w:rsidRDefault="00D83285" w:rsidP="00D83285">
            <w:pPr>
              <w:spacing w:after="160" w:line="259" w:lineRule="auto"/>
              <w:rPr>
                <w:b/>
              </w:rPr>
            </w:pPr>
            <w:r>
              <w:br w:type="page"/>
            </w:r>
            <w:r w:rsidRPr="007F37B8">
              <w:rPr>
                <w:b/>
              </w:rPr>
              <w:t>ФП</w:t>
            </w:r>
            <w:r>
              <w:rPr>
                <w:b/>
              </w:rPr>
              <w:t>У</w:t>
            </w:r>
            <w:r w:rsidRPr="007F37B8">
              <w:rPr>
                <w:b/>
              </w:rPr>
              <w:t xml:space="preserve"> </w:t>
            </w:r>
          </w:p>
        </w:tc>
        <w:tc>
          <w:tcPr>
            <w:tcW w:w="4853" w:type="dxa"/>
          </w:tcPr>
          <w:p w:rsidR="00D83285" w:rsidRPr="007F37B8" w:rsidRDefault="00D83285" w:rsidP="00D83285">
            <w:pPr>
              <w:spacing w:after="160" w:line="259" w:lineRule="auto"/>
            </w:pPr>
            <w:r w:rsidRPr="007F37B8">
              <w:t>Я - учитель</w:t>
            </w:r>
          </w:p>
        </w:tc>
        <w:tc>
          <w:tcPr>
            <w:tcW w:w="4854" w:type="dxa"/>
          </w:tcPr>
          <w:p w:rsidR="00D83285" w:rsidRPr="007F37B8" w:rsidRDefault="00D83285" w:rsidP="00DD7602">
            <w:pPr>
              <w:spacing w:after="160" w:line="259" w:lineRule="auto"/>
            </w:pPr>
            <w:r w:rsidRPr="007F37B8">
              <w:t xml:space="preserve">Я – руководитель </w:t>
            </w:r>
            <w:r w:rsidR="00DD7602">
              <w:t>Ш</w:t>
            </w:r>
            <w:r w:rsidRPr="007F37B8">
              <w:t>МО</w:t>
            </w:r>
          </w:p>
        </w:tc>
      </w:tr>
      <w:tr w:rsidR="00D83285" w:rsidTr="00D83285">
        <w:tc>
          <w:tcPr>
            <w:tcW w:w="4853" w:type="dxa"/>
          </w:tcPr>
          <w:p w:rsidR="00D83285" w:rsidRDefault="00D83285" w:rsidP="00D83285">
            <w:pPr>
              <w:spacing w:after="160" w:line="259" w:lineRule="auto"/>
            </w:pPr>
            <w:r>
              <w:t xml:space="preserve">Основная школа </w:t>
            </w:r>
          </w:p>
          <w:p w:rsidR="00D83285" w:rsidRDefault="00D83285" w:rsidP="00D83285">
            <w:pPr>
              <w:pStyle w:val="a4"/>
              <w:numPr>
                <w:ilvl w:val="0"/>
                <w:numId w:val="5"/>
              </w:numPr>
            </w:pPr>
            <w:r>
              <w:t>5, 7 классы</w:t>
            </w:r>
          </w:p>
          <w:p w:rsidR="00D83285" w:rsidRDefault="00D83285" w:rsidP="00D83285">
            <w:pPr>
              <w:pStyle w:val="a4"/>
            </w:pPr>
          </w:p>
          <w:p w:rsidR="00D83285" w:rsidRDefault="00D83285" w:rsidP="00D83285">
            <w:pPr>
              <w:pStyle w:val="a4"/>
            </w:pPr>
          </w:p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>
            <w:pPr>
              <w:pStyle w:val="a4"/>
              <w:numPr>
                <w:ilvl w:val="0"/>
                <w:numId w:val="5"/>
              </w:numPr>
            </w:pPr>
            <w:r>
              <w:t>6, 8, 9 классы</w:t>
            </w:r>
          </w:p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>
            <w:r>
              <w:t>Старшая школа:</w:t>
            </w:r>
          </w:p>
          <w:p w:rsidR="00D83285" w:rsidRDefault="00D83285" w:rsidP="00D83285"/>
          <w:p w:rsidR="00D83285" w:rsidRDefault="00D83285" w:rsidP="00D83285">
            <w:pPr>
              <w:pStyle w:val="a4"/>
              <w:numPr>
                <w:ilvl w:val="0"/>
                <w:numId w:val="6"/>
              </w:numPr>
            </w:pPr>
            <w:r>
              <w:t>10 класс</w:t>
            </w:r>
          </w:p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Default="00D83285" w:rsidP="00D83285">
            <w:pPr>
              <w:pStyle w:val="a4"/>
              <w:numPr>
                <w:ilvl w:val="0"/>
                <w:numId w:val="6"/>
              </w:numPr>
            </w:pPr>
            <w:r>
              <w:t>11 класс</w:t>
            </w:r>
          </w:p>
          <w:p w:rsidR="00D83285" w:rsidRDefault="00D83285" w:rsidP="00D83285"/>
          <w:p w:rsidR="00D83285" w:rsidRDefault="00D83285" w:rsidP="00D83285"/>
          <w:p w:rsidR="00D83285" w:rsidRDefault="00D83285" w:rsidP="00D83285"/>
          <w:p w:rsidR="00D83285" w:rsidRPr="007F37B8" w:rsidRDefault="00D83285" w:rsidP="00D83285"/>
        </w:tc>
        <w:tc>
          <w:tcPr>
            <w:tcW w:w="4853" w:type="dxa"/>
          </w:tcPr>
          <w:p w:rsidR="00D83285" w:rsidRPr="007F37B8" w:rsidRDefault="00D83285" w:rsidP="00D83285">
            <w:pPr>
              <w:spacing w:after="160" w:line="259" w:lineRule="auto"/>
            </w:pPr>
          </w:p>
        </w:tc>
        <w:tc>
          <w:tcPr>
            <w:tcW w:w="4854" w:type="dxa"/>
          </w:tcPr>
          <w:p w:rsidR="00D83285" w:rsidRPr="007F37B8" w:rsidRDefault="00D83285" w:rsidP="00D83285">
            <w:pPr>
              <w:spacing w:after="160" w:line="259" w:lineRule="auto"/>
            </w:pPr>
          </w:p>
        </w:tc>
      </w:tr>
    </w:tbl>
    <w:p w:rsidR="007F37B8" w:rsidRDefault="007F37B8" w:rsidP="00DB221D"/>
    <w:sectPr w:rsidR="007F37B8" w:rsidSect="003B392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58" w:rsidRDefault="00FE1358" w:rsidP="00BE078B">
      <w:pPr>
        <w:spacing w:after="0" w:line="240" w:lineRule="auto"/>
      </w:pPr>
      <w:r>
        <w:separator/>
      </w:r>
    </w:p>
  </w:endnote>
  <w:endnote w:type="continuationSeparator" w:id="0">
    <w:p w:rsidR="00FE1358" w:rsidRDefault="00FE1358" w:rsidP="00BE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58" w:rsidRDefault="00FE1358" w:rsidP="00BE078B">
      <w:pPr>
        <w:spacing w:after="0" w:line="240" w:lineRule="auto"/>
      </w:pPr>
      <w:r>
        <w:separator/>
      </w:r>
    </w:p>
  </w:footnote>
  <w:footnote w:type="continuationSeparator" w:id="0">
    <w:p w:rsidR="00FE1358" w:rsidRDefault="00FE1358" w:rsidP="00BE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50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A67D19"/>
    <w:multiLevelType w:val="hybridMultilevel"/>
    <w:tmpl w:val="DF88F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8D9"/>
    <w:multiLevelType w:val="hybridMultilevel"/>
    <w:tmpl w:val="F580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1246"/>
    <w:multiLevelType w:val="hybridMultilevel"/>
    <w:tmpl w:val="BC30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C27A1"/>
    <w:multiLevelType w:val="hybridMultilevel"/>
    <w:tmpl w:val="C52E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2067A"/>
    <w:multiLevelType w:val="hybridMultilevel"/>
    <w:tmpl w:val="888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86"/>
    <w:rsid w:val="00045DBB"/>
    <w:rsid w:val="000576B6"/>
    <w:rsid w:val="00064738"/>
    <w:rsid w:val="000D711F"/>
    <w:rsid w:val="00234E84"/>
    <w:rsid w:val="002454F2"/>
    <w:rsid w:val="003467E6"/>
    <w:rsid w:val="003B392F"/>
    <w:rsid w:val="004D4A02"/>
    <w:rsid w:val="00563249"/>
    <w:rsid w:val="00621CED"/>
    <w:rsid w:val="00692F00"/>
    <w:rsid w:val="007444CA"/>
    <w:rsid w:val="007F37B8"/>
    <w:rsid w:val="00802FE2"/>
    <w:rsid w:val="00907F2F"/>
    <w:rsid w:val="009157FE"/>
    <w:rsid w:val="009250F1"/>
    <w:rsid w:val="00942545"/>
    <w:rsid w:val="00947EA0"/>
    <w:rsid w:val="00BE078B"/>
    <w:rsid w:val="00D65D24"/>
    <w:rsid w:val="00D83285"/>
    <w:rsid w:val="00DA7EA7"/>
    <w:rsid w:val="00DB221D"/>
    <w:rsid w:val="00DD7602"/>
    <w:rsid w:val="00DE1B31"/>
    <w:rsid w:val="00E86C49"/>
    <w:rsid w:val="00EC6F86"/>
    <w:rsid w:val="00F11402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E4D2"/>
  <w15:chartTrackingRefBased/>
  <w15:docId w15:val="{89A94EBA-DA84-4EBE-A690-5AA06C60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9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0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78B"/>
  </w:style>
  <w:style w:type="paragraph" w:styleId="a7">
    <w:name w:val="footer"/>
    <w:basedOn w:val="a"/>
    <w:link w:val="a8"/>
    <w:uiPriority w:val="99"/>
    <w:unhideWhenUsed/>
    <w:rsid w:val="00BE0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78B"/>
  </w:style>
  <w:style w:type="paragraph" w:styleId="a9">
    <w:name w:val="Balloon Text"/>
    <w:basedOn w:val="a"/>
    <w:link w:val="aa"/>
    <w:uiPriority w:val="99"/>
    <w:semiHidden/>
    <w:unhideWhenUsed/>
    <w:rsid w:val="00D8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3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7151-AC80-4E2D-A906-EEDC4DE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368-2</cp:lastModifiedBy>
  <cp:revision>14</cp:revision>
  <cp:lastPrinted>2023-03-27T02:14:00Z</cp:lastPrinted>
  <dcterms:created xsi:type="dcterms:W3CDTF">2023-03-17T05:56:00Z</dcterms:created>
  <dcterms:modified xsi:type="dcterms:W3CDTF">2023-04-05T01:41:00Z</dcterms:modified>
</cp:coreProperties>
</file>